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82BEB">
      <w:pPr>
        <w:jc w:val="left"/>
        <w:rPr>
          <w:rFonts w:hint="default" w:ascii="仿宋_GB2312" w:hAnsi="Verdana" w:eastAsia="仿宋_GB2312"/>
          <w:bCs/>
          <w:sz w:val="32"/>
          <w:szCs w:val="32"/>
          <w:lang w:val="en-US" w:eastAsia="zh-CN"/>
        </w:rPr>
      </w:pPr>
      <w:r>
        <w:rPr>
          <w:rFonts w:hint="eastAsia" w:ascii="仿宋_GB2312" w:hAnsi="Verdana" w:eastAsia="仿宋_GB2312"/>
          <w:bCs/>
          <w:sz w:val="32"/>
          <w:szCs w:val="32"/>
          <w:lang w:val="en-US" w:eastAsia="zh-CN"/>
        </w:rPr>
        <w:t>附件1：</w:t>
      </w:r>
    </w:p>
    <w:p w14:paraId="6577B707">
      <w:pPr>
        <w:keepNext w:val="0"/>
        <w:keepLines w:val="0"/>
        <w:pageBreakBefore w:val="0"/>
        <w:widowControl w:val="0"/>
        <w:tabs>
          <w:tab w:val="left" w:pos="160"/>
        </w:tabs>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信阳学院第</w:t>
      </w: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lang w:eastAsia="zh-CN"/>
        </w:rPr>
        <w:t>届</w:t>
      </w:r>
      <w:r>
        <w:rPr>
          <w:rFonts w:hint="eastAsia" w:ascii="方正小标宋简体" w:hAnsi="方正小标宋简体" w:eastAsia="方正小标宋简体" w:cs="方正小标宋简体"/>
          <w:sz w:val="44"/>
          <w:szCs w:val="44"/>
        </w:rPr>
        <w:t>“教学节”活动安排表</w:t>
      </w:r>
      <w:r>
        <w:rPr>
          <w:rFonts w:hint="eastAsia" w:ascii="方正小标宋简体" w:hAnsi="方正小标宋简体" w:eastAsia="方正小标宋简体" w:cs="方正小标宋简体"/>
          <w:sz w:val="44"/>
          <w:szCs w:val="44"/>
          <w:lang w:eastAsia="zh-CN"/>
        </w:rPr>
        <w:t>（暂定）</w:t>
      </w:r>
    </w:p>
    <w:tbl>
      <w:tblPr>
        <w:tblStyle w:val="6"/>
        <w:tblW w:w="14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2430"/>
        <w:gridCol w:w="6945"/>
        <w:gridCol w:w="3660"/>
      </w:tblGrid>
      <w:tr w14:paraId="2BD0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1869" w:type="dxa"/>
            <w:vAlign w:val="center"/>
          </w:tcPr>
          <w:p w14:paraId="3C09D734">
            <w:pPr>
              <w:tabs>
                <w:tab w:val="left" w:pos="160"/>
              </w:tabs>
              <w:spacing w:line="420" w:lineRule="exact"/>
              <w:jc w:val="center"/>
              <w:rPr>
                <w:rFonts w:ascii="仿宋_GB2312" w:hAnsi="黑体" w:eastAsia="仿宋_GB2312" w:cs="楷体"/>
                <w:b/>
                <w:bCs/>
                <w:color w:val="auto"/>
                <w:sz w:val="28"/>
                <w:szCs w:val="28"/>
              </w:rPr>
            </w:pPr>
            <w:r>
              <w:rPr>
                <w:rFonts w:hint="eastAsia" w:ascii="仿宋_GB2312" w:hAnsi="黑体" w:eastAsia="仿宋_GB2312" w:cs="楷体"/>
                <w:b/>
                <w:bCs/>
                <w:color w:val="auto"/>
                <w:sz w:val="28"/>
                <w:szCs w:val="28"/>
              </w:rPr>
              <w:t>时间</w:t>
            </w:r>
          </w:p>
        </w:tc>
        <w:tc>
          <w:tcPr>
            <w:tcW w:w="2430" w:type="dxa"/>
            <w:vAlign w:val="center"/>
          </w:tcPr>
          <w:p w14:paraId="6DEBF81E">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黑体" w:eastAsia="仿宋_GB2312" w:cs="楷体"/>
                <w:b/>
                <w:bCs/>
                <w:color w:val="auto"/>
                <w:sz w:val="28"/>
                <w:szCs w:val="28"/>
                <w:lang w:eastAsia="zh-CN"/>
              </w:rPr>
            </w:pPr>
            <w:r>
              <w:rPr>
                <w:rFonts w:hint="eastAsia" w:ascii="仿宋_GB2312" w:hAnsi="黑体" w:eastAsia="仿宋_GB2312" w:cs="楷体"/>
                <w:b/>
                <w:bCs/>
                <w:color w:val="auto"/>
                <w:sz w:val="28"/>
                <w:szCs w:val="28"/>
              </w:rPr>
              <w:t>活动</w:t>
            </w:r>
            <w:r>
              <w:rPr>
                <w:rFonts w:hint="eastAsia" w:ascii="仿宋_GB2312" w:hAnsi="黑体" w:eastAsia="仿宋_GB2312" w:cs="楷体"/>
                <w:b/>
                <w:bCs/>
                <w:color w:val="auto"/>
                <w:sz w:val="28"/>
                <w:szCs w:val="28"/>
                <w:lang w:eastAsia="zh-CN"/>
              </w:rPr>
              <w:t>分类</w:t>
            </w:r>
          </w:p>
        </w:tc>
        <w:tc>
          <w:tcPr>
            <w:tcW w:w="6945" w:type="dxa"/>
            <w:vAlign w:val="center"/>
          </w:tcPr>
          <w:p w14:paraId="06DB3CA1">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黑体" w:eastAsia="仿宋_GB2312" w:cs="楷体"/>
                <w:b/>
                <w:bCs/>
                <w:color w:val="auto"/>
                <w:sz w:val="28"/>
                <w:szCs w:val="28"/>
                <w:lang w:eastAsia="zh-CN"/>
              </w:rPr>
            </w:pPr>
            <w:r>
              <w:rPr>
                <w:rFonts w:hint="eastAsia" w:ascii="仿宋_GB2312" w:hAnsi="黑体" w:eastAsia="仿宋_GB2312" w:cs="楷体"/>
                <w:b/>
                <w:bCs/>
                <w:color w:val="auto"/>
                <w:sz w:val="28"/>
                <w:szCs w:val="28"/>
                <w:lang w:eastAsia="zh-CN"/>
              </w:rPr>
              <w:t>活动内容</w:t>
            </w:r>
          </w:p>
        </w:tc>
        <w:tc>
          <w:tcPr>
            <w:tcW w:w="3660" w:type="dxa"/>
            <w:vAlign w:val="center"/>
          </w:tcPr>
          <w:p w14:paraId="3C12D3B1">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_GB2312" w:hAnsi="黑体" w:eastAsia="仿宋_GB2312" w:cs="楷体"/>
                <w:b/>
                <w:bCs/>
                <w:color w:val="auto"/>
                <w:sz w:val="28"/>
                <w:szCs w:val="28"/>
                <w:lang w:val="en-US" w:eastAsia="zh-CN"/>
              </w:rPr>
            </w:pPr>
            <w:r>
              <w:rPr>
                <w:rFonts w:hint="eastAsia" w:ascii="仿宋_GB2312" w:hAnsi="黑体" w:eastAsia="仿宋_GB2312" w:cs="楷体"/>
                <w:b/>
                <w:bCs/>
                <w:color w:val="auto"/>
                <w:sz w:val="28"/>
                <w:szCs w:val="28"/>
                <w:lang w:val="en-US" w:eastAsia="zh-CN"/>
              </w:rPr>
              <w:t>承办单位</w:t>
            </w:r>
          </w:p>
        </w:tc>
      </w:tr>
      <w:tr w14:paraId="7F7D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restart"/>
            <w:vAlign w:val="center"/>
          </w:tcPr>
          <w:p w14:paraId="30F7BFF3">
            <w:pPr>
              <w:tabs>
                <w:tab w:val="left" w:pos="160"/>
              </w:tabs>
              <w:spacing w:line="420" w:lineRule="exact"/>
              <w:jc w:val="center"/>
              <w:rPr>
                <w:rFonts w:hint="default" w:ascii="仿宋_GB2312" w:hAnsi="楷体" w:eastAsia="仿宋_GB2312" w:cs="楷体"/>
                <w:bCs/>
                <w:color w:val="auto"/>
                <w:sz w:val="28"/>
                <w:szCs w:val="28"/>
                <w:lang w:val="en-US" w:eastAsia="zh-CN"/>
              </w:rPr>
            </w:pPr>
            <w:r>
              <w:rPr>
                <w:rFonts w:hint="eastAsia" w:ascii="仿宋_GB2312" w:hAnsi="楷体" w:eastAsia="仿宋_GB2312" w:cs="楷体"/>
                <w:bCs/>
                <w:color w:val="auto"/>
                <w:sz w:val="28"/>
                <w:szCs w:val="28"/>
                <w:lang w:val="en-US" w:eastAsia="zh-CN"/>
              </w:rPr>
              <w:t>11月上旬</w:t>
            </w:r>
          </w:p>
        </w:tc>
        <w:tc>
          <w:tcPr>
            <w:tcW w:w="2430" w:type="dxa"/>
            <w:vMerge w:val="restart"/>
            <w:vAlign w:val="center"/>
          </w:tcPr>
          <w:p w14:paraId="4755E0E0">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ascii="仿宋_GB2312" w:hAnsi="楷体" w:eastAsia="仿宋_GB2312" w:cs="楷体"/>
                <w:bCs/>
                <w:color w:val="auto"/>
                <w:sz w:val="28"/>
                <w:szCs w:val="28"/>
              </w:rPr>
            </w:pPr>
            <w:r>
              <w:rPr>
                <w:rFonts w:hint="eastAsia" w:ascii="仿宋_GB2312" w:hAnsi="楷体" w:eastAsia="仿宋_GB2312" w:cs="楷体"/>
                <w:bCs/>
                <w:color w:val="auto"/>
                <w:sz w:val="28"/>
                <w:szCs w:val="28"/>
              </w:rPr>
              <w:t>开幕式</w:t>
            </w:r>
          </w:p>
        </w:tc>
        <w:tc>
          <w:tcPr>
            <w:tcW w:w="6945" w:type="dxa"/>
            <w:vAlign w:val="center"/>
          </w:tcPr>
          <w:p w14:paraId="1ECAD57F">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ascii="仿宋_GB2312" w:hAnsi="楷体" w:eastAsia="仿宋_GB2312" w:cs="楷体"/>
                <w:bCs/>
                <w:color w:val="auto"/>
                <w:sz w:val="28"/>
                <w:szCs w:val="28"/>
              </w:rPr>
            </w:pPr>
            <w:r>
              <w:rPr>
                <w:rFonts w:hint="eastAsia" w:ascii="仿宋_GB2312" w:hAnsi="楷体" w:eastAsia="仿宋_GB2312" w:cs="楷体"/>
                <w:bCs/>
                <w:color w:val="auto"/>
                <w:sz w:val="28"/>
                <w:szCs w:val="28"/>
              </w:rPr>
              <w:t>校领导致辞</w:t>
            </w:r>
          </w:p>
        </w:tc>
        <w:tc>
          <w:tcPr>
            <w:tcW w:w="3660" w:type="dxa"/>
            <w:vMerge w:val="restart"/>
            <w:vAlign w:val="center"/>
          </w:tcPr>
          <w:p w14:paraId="0CB90484">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楷体" w:eastAsia="仿宋_GB2312" w:cs="楷体"/>
                <w:bCs/>
                <w:color w:val="auto"/>
                <w:sz w:val="28"/>
                <w:szCs w:val="28"/>
                <w:lang w:eastAsia="zh-CN"/>
              </w:rPr>
            </w:pPr>
            <w:r>
              <w:rPr>
                <w:rFonts w:hint="eastAsia" w:ascii="仿宋_GB2312" w:hAnsi="楷体" w:eastAsia="仿宋_GB2312" w:cs="楷体"/>
                <w:bCs/>
                <w:color w:val="auto"/>
                <w:sz w:val="28"/>
                <w:szCs w:val="28"/>
                <w:lang w:val="en-US" w:eastAsia="zh-CN"/>
              </w:rPr>
              <w:t>校长办公室、教务处</w:t>
            </w:r>
          </w:p>
        </w:tc>
      </w:tr>
      <w:tr w14:paraId="260B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0CC7FA1F">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1B00ECB1">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ascii="仿宋_GB2312" w:hAnsi="楷体" w:eastAsia="仿宋_GB2312" w:cs="楷体"/>
                <w:bCs/>
                <w:color w:val="auto"/>
                <w:sz w:val="28"/>
                <w:szCs w:val="28"/>
              </w:rPr>
            </w:pPr>
          </w:p>
        </w:tc>
        <w:tc>
          <w:tcPr>
            <w:tcW w:w="6945" w:type="dxa"/>
            <w:vAlign w:val="center"/>
          </w:tcPr>
          <w:p w14:paraId="4FF57B3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_GB2312" w:hAnsi="楷体" w:eastAsia="仿宋_GB2312" w:cs="楷体"/>
                <w:bCs/>
                <w:color w:val="auto"/>
                <w:sz w:val="28"/>
                <w:szCs w:val="28"/>
                <w:lang w:val="en-US" w:eastAsia="zh-CN"/>
              </w:rPr>
            </w:pPr>
            <w:r>
              <w:rPr>
                <w:rFonts w:hint="eastAsia" w:ascii="仿宋_GB2312" w:hAnsi="楷体" w:eastAsia="仿宋_GB2312" w:cs="楷体"/>
                <w:bCs/>
                <w:color w:val="auto"/>
                <w:sz w:val="28"/>
                <w:szCs w:val="28"/>
                <w:lang w:val="en-US" w:eastAsia="zh-CN"/>
              </w:rPr>
              <w:t>校领导部署第四届“教学节”工作</w:t>
            </w:r>
          </w:p>
        </w:tc>
        <w:tc>
          <w:tcPr>
            <w:tcW w:w="3660" w:type="dxa"/>
            <w:vMerge w:val="continue"/>
            <w:vAlign w:val="center"/>
          </w:tcPr>
          <w:p w14:paraId="54D96216">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楷体" w:eastAsia="仿宋_GB2312" w:cs="楷体"/>
                <w:bCs/>
                <w:color w:val="auto"/>
                <w:sz w:val="28"/>
                <w:szCs w:val="28"/>
                <w:lang w:val="en-US" w:eastAsia="zh-CN"/>
              </w:rPr>
            </w:pPr>
          </w:p>
        </w:tc>
      </w:tr>
      <w:tr w14:paraId="0241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5FD235EB">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2EBDDCB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ascii="仿宋_GB2312" w:hAnsi="楷体" w:eastAsia="仿宋_GB2312" w:cs="楷体"/>
                <w:bCs/>
                <w:color w:val="auto"/>
                <w:sz w:val="28"/>
                <w:szCs w:val="28"/>
              </w:rPr>
            </w:pPr>
          </w:p>
        </w:tc>
        <w:tc>
          <w:tcPr>
            <w:tcW w:w="6945" w:type="dxa"/>
            <w:vAlign w:val="center"/>
          </w:tcPr>
          <w:p w14:paraId="511BA748">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楷体" w:eastAsia="仿宋_GB2312" w:cs="楷体"/>
                <w:bCs/>
                <w:color w:val="auto"/>
                <w:sz w:val="28"/>
                <w:szCs w:val="28"/>
                <w:lang w:eastAsia="zh-CN"/>
              </w:rPr>
            </w:pPr>
            <w:r>
              <w:rPr>
                <w:rFonts w:hint="eastAsia" w:ascii="仿宋_GB2312" w:hAnsi="楷体" w:eastAsia="仿宋_GB2312" w:cs="楷体"/>
                <w:bCs/>
                <w:color w:val="auto"/>
                <w:sz w:val="28"/>
                <w:szCs w:val="28"/>
                <w:lang w:eastAsia="zh-CN"/>
              </w:rPr>
              <w:t>专家讲座</w:t>
            </w:r>
          </w:p>
        </w:tc>
        <w:tc>
          <w:tcPr>
            <w:tcW w:w="3660" w:type="dxa"/>
            <w:vMerge w:val="continue"/>
            <w:vAlign w:val="center"/>
          </w:tcPr>
          <w:p w14:paraId="5B87006E">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楷体" w:eastAsia="仿宋_GB2312" w:cs="楷体"/>
                <w:bCs/>
                <w:color w:val="auto"/>
                <w:sz w:val="28"/>
                <w:szCs w:val="28"/>
                <w:lang w:eastAsia="zh-CN"/>
              </w:rPr>
            </w:pPr>
          </w:p>
        </w:tc>
      </w:tr>
      <w:tr w14:paraId="768A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restart"/>
            <w:vAlign w:val="center"/>
          </w:tcPr>
          <w:p w14:paraId="13333EC2">
            <w:pPr>
              <w:tabs>
                <w:tab w:val="left" w:pos="160"/>
              </w:tabs>
              <w:spacing w:line="420" w:lineRule="exact"/>
              <w:jc w:val="center"/>
              <w:rPr>
                <w:rFonts w:ascii="仿宋_GB2312" w:hAnsi="楷体" w:eastAsia="仿宋_GB2312" w:cs="楷体"/>
                <w:bCs/>
                <w:color w:val="auto"/>
                <w:sz w:val="28"/>
                <w:szCs w:val="28"/>
              </w:rPr>
            </w:pPr>
          </w:p>
          <w:p w14:paraId="6819F490">
            <w:pPr>
              <w:tabs>
                <w:tab w:val="left" w:pos="160"/>
              </w:tabs>
              <w:spacing w:line="420" w:lineRule="exact"/>
              <w:jc w:val="center"/>
              <w:rPr>
                <w:rFonts w:hint="eastAsia" w:ascii="仿宋_GB2312" w:hAnsi="楷体" w:eastAsia="仿宋_GB2312" w:cs="楷体"/>
                <w:bCs/>
                <w:color w:val="auto"/>
                <w:sz w:val="28"/>
                <w:szCs w:val="28"/>
                <w:lang w:val="en-US" w:eastAsia="zh-CN"/>
              </w:rPr>
            </w:pPr>
            <w:r>
              <w:rPr>
                <w:rFonts w:hint="eastAsia" w:ascii="仿宋_GB2312" w:hAnsi="楷体" w:eastAsia="仿宋_GB2312" w:cs="楷体"/>
                <w:bCs/>
                <w:color w:val="auto"/>
                <w:sz w:val="28"/>
                <w:szCs w:val="28"/>
                <w:lang w:val="en-US" w:eastAsia="zh-CN"/>
              </w:rPr>
              <w:t>11</w:t>
            </w:r>
            <w:r>
              <w:rPr>
                <w:rFonts w:hint="eastAsia" w:ascii="仿宋_GB2312" w:hAnsi="楷体" w:eastAsia="仿宋_GB2312" w:cs="楷体"/>
                <w:bCs/>
                <w:color w:val="auto"/>
                <w:sz w:val="28"/>
                <w:szCs w:val="28"/>
              </w:rPr>
              <w:t>月</w:t>
            </w:r>
            <w:r>
              <w:rPr>
                <w:rFonts w:hint="eastAsia" w:ascii="仿宋_GB2312" w:hAnsi="楷体" w:eastAsia="仿宋_GB2312" w:cs="楷体"/>
                <w:bCs/>
                <w:color w:val="auto"/>
                <w:sz w:val="28"/>
                <w:szCs w:val="28"/>
                <w:lang w:eastAsia="zh-CN"/>
              </w:rPr>
              <w:t>——</w:t>
            </w:r>
            <w:r>
              <w:rPr>
                <w:rFonts w:hint="eastAsia" w:ascii="仿宋_GB2312" w:hAnsi="楷体" w:eastAsia="仿宋_GB2312" w:cs="楷体"/>
                <w:bCs/>
                <w:color w:val="auto"/>
                <w:sz w:val="28"/>
                <w:szCs w:val="28"/>
                <w:lang w:val="en-US" w:eastAsia="zh-CN"/>
              </w:rPr>
              <w:t>12月上旬</w:t>
            </w:r>
          </w:p>
          <w:p w14:paraId="3AEC1D70">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171EFECE">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4AD79493">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3F70876E">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5FDEE9EE">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371C2BD9">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20E41324">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0E8E3483">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6845B9D3">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4D676A8E">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3762B345">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6FF2269A">
            <w:pPr>
              <w:tabs>
                <w:tab w:val="left" w:pos="160"/>
              </w:tabs>
              <w:spacing w:line="420" w:lineRule="exact"/>
              <w:jc w:val="center"/>
              <w:rPr>
                <w:rFonts w:hint="eastAsia" w:ascii="仿宋_GB2312" w:hAnsi="楷体" w:eastAsia="仿宋_GB2312" w:cs="楷体"/>
                <w:bCs/>
                <w:color w:val="auto"/>
                <w:sz w:val="28"/>
                <w:szCs w:val="28"/>
                <w:lang w:val="en-US" w:eastAsia="zh-CN"/>
              </w:rPr>
            </w:pPr>
            <w:r>
              <w:rPr>
                <w:rFonts w:hint="eastAsia" w:ascii="仿宋_GB2312" w:hAnsi="楷体" w:eastAsia="仿宋_GB2312" w:cs="楷体"/>
                <w:bCs/>
                <w:color w:val="auto"/>
                <w:sz w:val="28"/>
                <w:szCs w:val="28"/>
                <w:lang w:val="en-US" w:eastAsia="zh-CN"/>
              </w:rPr>
              <w:t>11</w:t>
            </w:r>
            <w:r>
              <w:rPr>
                <w:rFonts w:hint="eastAsia" w:ascii="仿宋_GB2312" w:hAnsi="楷体" w:eastAsia="仿宋_GB2312" w:cs="楷体"/>
                <w:bCs/>
                <w:color w:val="auto"/>
                <w:sz w:val="28"/>
                <w:szCs w:val="28"/>
              </w:rPr>
              <w:t>月</w:t>
            </w:r>
            <w:r>
              <w:rPr>
                <w:rFonts w:hint="eastAsia" w:ascii="仿宋_GB2312" w:hAnsi="楷体" w:eastAsia="仿宋_GB2312" w:cs="楷体"/>
                <w:bCs/>
                <w:color w:val="auto"/>
                <w:sz w:val="28"/>
                <w:szCs w:val="28"/>
                <w:lang w:eastAsia="zh-CN"/>
              </w:rPr>
              <w:t>——</w:t>
            </w:r>
            <w:r>
              <w:rPr>
                <w:rFonts w:hint="eastAsia" w:ascii="仿宋_GB2312" w:hAnsi="楷体" w:eastAsia="仿宋_GB2312" w:cs="楷体"/>
                <w:bCs/>
                <w:color w:val="auto"/>
                <w:sz w:val="28"/>
                <w:szCs w:val="28"/>
                <w:lang w:val="en-US" w:eastAsia="zh-CN"/>
              </w:rPr>
              <w:t>12月上旬</w:t>
            </w:r>
          </w:p>
          <w:p w14:paraId="04A3216D">
            <w:pPr>
              <w:tabs>
                <w:tab w:val="left" w:pos="160"/>
              </w:tabs>
              <w:spacing w:line="420" w:lineRule="exact"/>
              <w:jc w:val="center"/>
              <w:rPr>
                <w:rFonts w:hint="eastAsia" w:ascii="仿宋_GB2312" w:hAnsi="楷体" w:eastAsia="仿宋_GB2312" w:cs="楷体"/>
                <w:bCs/>
                <w:color w:val="auto"/>
                <w:sz w:val="28"/>
                <w:szCs w:val="28"/>
                <w:lang w:val="en-US" w:eastAsia="zh-CN"/>
              </w:rPr>
            </w:pPr>
          </w:p>
          <w:p w14:paraId="660044D8">
            <w:pPr>
              <w:tabs>
                <w:tab w:val="left" w:pos="160"/>
              </w:tabs>
              <w:spacing w:line="420" w:lineRule="exact"/>
              <w:jc w:val="center"/>
              <w:rPr>
                <w:rFonts w:hint="eastAsia" w:ascii="仿宋_GB2312" w:hAnsi="黑体" w:eastAsia="仿宋_GB2312" w:cs="楷体"/>
                <w:b/>
                <w:bCs/>
                <w:color w:val="auto"/>
                <w:sz w:val="28"/>
                <w:szCs w:val="28"/>
              </w:rPr>
            </w:pPr>
          </w:p>
        </w:tc>
        <w:tc>
          <w:tcPr>
            <w:tcW w:w="2430" w:type="dxa"/>
            <w:vMerge w:val="restart"/>
            <w:vAlign w:val="center"/>
          </w:tcPr>
          <w:p w14:paraId="06BBC500">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rPr>
            </w:pPr>
            <w:r>
              <w:rPr>
                <w:rFonts w:hint="eastAsia" w:ascii="仿宋" w:hAnsi="仿宋" w:eastAsia="仿宋" w:cs="仿宋"/>
                <w:bCs/>
                <w:color w:val="auto"/>
                <w:sz w:val="28"/>
                <w:szCs w:val="28"/>
                <w:lang w:val="en-US" w:eastAsia="zh-CN"/>
              </w:rPr>
              <w:t>数智</w:t>
            </w:r>
            <w:r>
              <w:rPr>
                <w:rFonts w:hint="eastAsia" w:ascii="仿宋" w:hAnsi="仿宋" w:eastAsia="仿宋" w:cs="仿宋"/>
                <w:bCs/>
                <w:color w:val="auto"/>
                <w:sz w:val="28"/>
                <w:szCs w:val="28"/>
              </w:rPr>
              <w:t>赋能教育主题交流研讨</w:t>
            </w:r>
          </w:p>
        </w:tc>
        <w:tc>
          <w:tcPr>
            <w:tcW w:w="6945" w:type="dxa"/>
            <w:vAlign w:val="center"/>
          </w:tcPr>
          <w:p w14:paraId="67E74C2A">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人工智能赋能专业建设交流与研讨</w:t>
            </w:r>
          </w:p>
        </w:tc>
        <w:tc>
          <w:tcPr>
            <w:tcW w:w="3660" w:type="dxa"/>
            <w:vMerge w:val="restart"/>
            <w:vAlign w:val="center"/>
          </w:tcPr>
          <w:p w14:paraId="2E32078E">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p>
          <w:p w14:paraId="748010A9">
            <w:pPr>
              <w:keepNext w:val="0"/>
              <w:keepLines w:val="0"/>
              <w:pageBreakBefore w:val="0"/>
              <w:widowControl w:val="0"/>
              <w:tabs>
                <w:tab w:val="left" w:pos="160"/>
              </w:tabs>
              <w:kinsoku/>
              <w:wordWrap/>
              <w:overflowPunct/>
              <w:topLinePunct w:val="0"/>
              <w:autoSpaceDE/>
              <w:autoSpaceDN/>
              <w:bidi w:val="0"/>
              <w:adjustRightInd/>
              <w:snapToGrid/>
              <w:spacing w:line="400" w:lineRule="exact"/>
              <w:jc w:val="both"/>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教务处、教师教学发展中心</w:t>
            </w:r>
          </w:p>
          <w:p w14:paraId="38E026AC">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5FC6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21429E2E">
            <w:pPr>
              <w:tabs>
                <w:tab w:val="left" w:pos="160"/>
              </w:tabs>
              <w:spacing w:line="420" w:lineRule="exact"/>
              <w:jc w:val="center"/>
              <w:rPr>
                <w:rFonts w:hint="eastAsia" w:ascii="仿宋_GB2312" w:hAnsi="黑体" w:eastAsia="仿宋_GB2312" w:cs="楷体"/>
                <w:b/>
                <w:bCs/>
                <w:color w:val="auto"/>
                <w:sz w:val="28"/>
                <w:szCs w:val="28"/>
              </w:rPr>
            </w:pPr>
          </w:p>
        </w:tc>
        <w:tc>
          <w:tcPr>
            <w:tcW w:w="2430" w:type="dxa"/>
            <w:vMerge w:val="continue"/>
            <w:vAlign w:val="center"/>
          </w:tcPr>
          <w:p w14:paraId="3DAAB8B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p>
        </w:tc>
        <w:tc>
          <w:tcPr>
            <w:tcW w:w="6945" w:type="dxa"/>
            <w:vAlign w:val="center"/>
          </w:tcPr>
          <w:p w14:paraId="71AB8BF9">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智慧课程建设培训</w:t>
            </w:r>
          </w:p>
        </w:tc>
        <w:tc>
          <w:tcPr>
            <w:tcW w:w="3660" w:type="dxa"/>
            <w:vMerge w:val="continue"/>
            <w:vAlign w:val="center"/>
          </w:tcPr>
          <w:p w14:paraId="1F2866C6">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0685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760A458E">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199774BC">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5323CD7F">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r>
              <w:rPr>
                <w:rFonts w:ascii="仿宋_GB2312" w:hAnsi="楷体" w:eastAsia="仿宋_GB2312" w:cs="楷体"/>
                <w:bCs/>
                <w:color w:val="auto"/>
                <w:sz w:val="28"/>
                <w:szCs w:val="28"/>
              </w:rPr>
              <w:t xml:space="preserve">入选全国高校 </w:t>
            </w:r>
            <w:r>
              <w:rPr>
                <w:rFonts w:hint="eastAsia" w:ascii="仿宋_GB2312" w:hAnsi="楷体" w:eastAsia="仿宋_GB2312" w:cs="楷体"/>
                <w:bCs/>
                <w:color w:val="auto"/>
                <w:sz w:val="28"/>
                <w:szCs w:val="28"/>
                <w:lang w:eastAsia="zh-CN"/>
              </w:rPr>
              <w:t>“</w:t>
            </w:r>
            <w:r>
              <w:rPr>
                <w:rFonts w:ascii="仿宋_GB2312" w:hAnsi="楷体" w:eastAsia="仿宋_GB2312" w:cs="楷体"/>
                <w:bCs/>
                <w:color w:val="auto"/>
                <w:sz w:val="28"/>
                <w:szCs w:val="28"/>
              </w:rPr>
              <w:t>智慧课程</w:t>
            </w:r>
            <w:r>
              <w:rPr>
                <w:rFonts w:hint="eastAsia" w:ascii="仿宋_GB2312" w:hAnsi="楷体" w:eastAsia="仿宋_GB2312" w:cs="楷体"/>
                <w:bCs/>
                <w:color w:val="auto"/>
                <w:sz w:val="28"/>
                <w:szCs w:val="28"/>
                <w:lang w:eastAsia="zh-CN"/>
              </w:rPr>
              <w:t>”</w:t>
            </w:r>
            <w:r>
              <w:rPr>
                <w:rFonts w:ascii="仿宋_GB2312" w:hAnsi="楷体" w:eastAsia="仿宋_GB2312" w:cs="楷体"/>
                <w:bCs/>
                <w:color w:val="auto"/>
                <w:sz w:val="28"/>
                <w:szCs w:val="28"/>
              </w:rPr>
              <w:t xml:space="preserve"> 最佳案例教师</w:t>
            </w:r>
            <w:r>
              <w:rPr>
                <w:rFonts w:hint="eastAsia" w:ascii="仿宋_GB2312" w:hAnsi="楷体" w:eastAsia="仿宋_GB2312" w:cs="楷体"/>
                <w:bCs/>
                <w:color w:val="auto"/>
                <w:sz w:val="28"/>
                <w:szCs w:val="28"/>
                <w:lang w:val="en-US" w:eastAsia="zh-CN"/>
              </w:rPr>
              <w:t>作</w:t>
            </w:r>
            <w:r>
              <w:rPr>
                <w:rFonts w:hint="eastAsia" w:ascii="仿宋_GB2312" w:hAnsi="楷体" w:eastAsia="仿宋_GB2312" w:cs="楷体"/>
                <w:bCs/>
                <w:color w:val="auto"/>
                <w:sz w:val="28"/>
                <w:szCs w:val="28"/>
              </w:rPr>
              <w:t>经验分享</w:t>
            </w:r>
          </w:p>
        </w:tc>
        <w:tc>
          <w:tcPr>
            <w:tcW w:w="3660" w:type="dxa"/>
            <w:vMerge w:val="continue"/>
            <w:vAlign w:val="center"/>
          </w:tcPr>
          <w:p w14:paraId="63F6F247">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16CD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0B543F8D">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03D8383C">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732D8219">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产教融合人才培养专题研讨</w:t>
            </w:r>
          </w:p>
        </w:tc>
        <w:tc>
          <w:tcPr>
            <w:tcW w:w="3660" w:type="dxa"/>
            <w:vMerge w:val="continue"/>
            <w:vAlign w:val="center"/>
          </w:tcPr>
          <w:p w14:paraId="31BF3CF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6C68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3579D0FE">
            <w:pPr>
              <w:tabs>
                <w:tab w:val="left" w:pos="160"/>
              </w:tabs>
              <w:spacing w:line="420" w:lineRule="exact"/>
              <w:jc w:val="center"/>
              <w:rPr>
                <w:rFonts w:ascii="仿宋_GB2312" w:hAnsi="楷体" w:eastAsia="仿宋_GB2312" w:cs="楷体"/>
                <w:bCs/>
                <w:color w:val="auto"/>
                <w:sz w:val="28"/>
                <w:szCs w:val="28"/>
              </w:rPr>
            </w:pPr>
          </w:p>
        </w:tc>
        <w:tc>
          <w:tcPr>
            <w:tcW w:w="2430" w:type="dxa"/>
            <w:vMerge w:val="restart"/>
            <w:vAlign w:val="center"/>
          </w:tcPr>
          <w:p w14:paraId="3878C7D6">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智慧教学内涵建设系列活动</w:t>
            </w:r>
          </w:p>
        </w:tc>
        <w:tc>
          <w:tcPr>
            <w:tcW w:w="6945" w:type="dxa"/>
            <w:vAlign w:val="center"/>
          </w:tcPr>
          <w:p w14:paraId="2D54148F">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信阳学院</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rPr>
              <w:t>AI</w:t>
            </w:r>
            <w:r>
              <w:rPr>
                <w:rFonts w:hint="eastAsia" w:ascii="仿宋" w:hAnsi="仿宋" w:eastAsia="仿宋" w:cs="仿宋"/>
                <w:bCs/>
                <w:color w:val="auto"/>
                <w:sz w:val="28"/>
                <w:szCs w:val="28"/>
                <w:lang w:val="en-US" w:eastAsia="zh-CN"/>
              </w:rPr>
              <w:t>+</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教学案例征集与评选</w:t>
            </w:r>
          </w:p>
        </w:tc>
        <w:tc>
          <w:tcPr>
            <w:tcW w:w="3660" w:type="dxa"/>
            <w:vMerge w:val="restart"/>
            <w:vAlign w:val="center"/>
          </w:tcPr>
          <w:p w14:paraId="50031DC8">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bCs/>
                <w:color w:val="auto"/>
                <w:sz w:val="28"/>
                <w:szCs w:val="28"/>
                <w:lang w:val="en-US" w:eastAsia="zh-CN"/>
              </w:rPr>
              <w:t>教务处、教师教学发展中心</w:t>
            </w:r>
          </w:p>
        </w:tc>
      </w:tr>
      <w:tr w14:paraId="1932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69" w:type="dxa"/>
            <w:vMerge w:val="continue"/>
            <w:vAlign w:val="center"/>
          </w:tcPr>
          <w:p w14:paraId="2D92D46C">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6300988D">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46038DFA">
            <w:pPr>
              <w:tabs>
                <w:tab w:val="left" w:pos="160"/>
              </w:tabs>
              <w:spacing w:line="400" w:lineRule="exact"/>
              <w:jc w:val="center"/>
              <w:rPr>
                <w:rFonts w:hint="eastAsia" w:ascii="仿宋" w:hAnsi="仿宋" w:eastAsia="仿宋" w:cs="仿宋"/>
                <w:bCs/>
                <w:color w:val="auto"/>
                <w:sz w:val="28"/>
                <w:szCs w:val="28"/>
                <w:lang w:val="en-US" w:eastAsia="zh-CN"/>
              </w:rPr>
            </w:pPr>
            <w:r>
              <w:rPr>
                <w:rFonts w:ascii="仿宋_GB2312" w:hAnsi="楷体" w:eastAsia="仿宋_GB2312" w:cs="楷体"/>
                <w:bCs/>
                <w:color w:val="auto"/>
                <w:sz w:val="28"/>
                <w:szCs w:val="28"/>
              </w:rPr>
              <w:t>AI赋能课堂教学技术讲座</w:t>
            </w:r>
          </w:p>
        </w:tc>
        <w:tc>
          <w:tcPr>
            <w:tcW w:w="3660" w:type="dxa"/>
            <w:vMerge w:val="continue"/>
            <w:vAlign w:val="center"/>
          </w:tcPr>
          <w:p w14:paraId="79B82BB5">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p>
        </w:tc>
      </w:tr>
      <w:tr w14:paraId="2B11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869" w:type="dxa"/>
            <w:vMerge w:val="continue"/>
            <w:vAlign w:val="center"/>
          </w:tcPr>
          <w:p w14:paraId="78D83618">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1297393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33DC0EA2">
            <w:pPr>
              <w:keepNext w:val="0"/>
              <w:keepLines w:val="0"/>
              <w:pageBreakBefore w:val="0"/>
              <w:widowControl w:val="0"/>
              <w:tabs>
                <w:tab w:val="left" w:pos="160"/>
              </w:tabs>
              <w:kinsoku/>
              <w:wordWrap/>
              <w:overflowPunct/>
              <w:topLinePunct w:val="0"/>
              <w:autoSpaceDE/>
              <w:autoSpaceDN/>
              <w:bidi w:val="0"/>
              <w:adjustRightInd/>
              <w:snapToGrid/>
              <w:spacing w:line="360" w:lineRule="exact"/>
              <w:jc w:val="center"/>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基于大模型的个性化资源生成与学习多智能体系统设计研讨与原型演示</w:t>
            </w:r>
          </w:p>
        </w:tc>
        <w:tc>
          <w:tcPr>
            <w:tcW w:w="3660" w:type="dxa"/>
            <w:vAlign w:val="center"/>
          </w:tcPr>
          <w:p w14:paraId="5DDDE0B3">
            <w:pPr>
              <w:keepNext w:val="0"/>
              <w:keepLines w:val="0"/>
              <w:widowControl/>
              <w:suppressLineNumbers w:val="0"/>
              <w:jc w:val="center"/>
              <w:rPr>
                <w:rFonts w:hint="eastAsia" w:ascii="仿宋" w:hAnsi="仿宋" w:eastAsia="仿宋" w:cs="仿宋"/>
                <w:color w:val="auto"/>
                <w:sz w:val="28"/>
                <w:szCs w:val="28"/>
              </w:rPr>
            </w:pPr>
            <w:r>
              <w:rPr>
                <w:rFonts w:hint="eastAsia" w:ascii="仿宋" w:hAnsi="仿宋" w:eastAsia="仿宋" w:cs="仿宋"/>
                <w:bCs/>
                <w:color w:val="auto"/>
                <w:sz w:val="28"/>
                <w:szCs w:val="28"/>
                <w:lang w:val="en-US" w:eastAsia="zh-CN"/>
              </w:rPr>
              <w:t>计算机与人工智能学院</w:t>
            </w:r>
          </w:p>
        </w:tc>
      </w:tr>
      <w:tr w14:paraId="18EB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869" w:type="dxa"/>
            <w:vMerge w:val="continue"/>
            <w:vAlign w:val="center"/>
          </w:tcPr>
          <w:p w14:paraId="2B5D08FC">
            <w:pPr>
              <w:tabs>
                <w:tab w:val="left" w:pos="160"/>
              </w:tabs>
              <w:spacing w:line="420" w:lineRule="exact"/>
              <w:jc w:val="center"/>
              <w:rPr>
                <w:rFonts w:ascii="仿宋_GB2312" w:hAnsi="楷体" w:eastAsia="仿宋_GB2312" w:cs="楷体"/>
                <w:bCs/>
                <w:color w:val="auto"/>
                <w:sz w:val="28"/>
                <w:szCs w:val="28"/>
              </w:rPr>
            </w:pPr>
          </w:p>
        </w:tc>
        <w:tc>
          <w:tcPr>
            <w:tcW w:w="2430" w:type="dxa"/>
            <w:vMerge w:val="restart"/>
            <w:vAlign w:val="center"/>
          </w:tcPr>
          <w:p w14:paraId="7AAEE4A6">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教师数字素养与AI应用能力提升活动</w:t>
            </w:r>
          </w:p>
        </w:tc>
        <w:tc>
          <w:tcPr>
            <w:tcW w:w="6945" w:type="dxa"/>
            <w:vAlign w:val="center"/>
          </w:tcPr>
          <w:p w14:paraId="3309DBB8">
            <w:pPr>
              <w:keepNext w:val="0"/>
              <w:keepLines w:val="0"/>
              <w:pageBreakBefore w:val="0"/>
              <w:widowControl w:val="0"/>
              <w:tabs>
                <w:tab w:val="left" w:pos="160"/>
              </w:tabs>
              <w:kinsoku/>
              <w:wordWrap/>
              <w:overflowPunct/>
              <w:topLinePunct w:val="0"/>
              <w:autoSpaceDE/>
              <w:autoSpaceDN/>
              <w:bidi w:val="0"/>
              <w:adjustRightInd/>
              <w:snapToGrid/>
              <w:spacing w:line="3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开展2026年度</w:t>
            </w:r>
            <w:r>
              <w:rPr>
                <w:rFonts w:hint="eastAsia" w:ascii="仿宋" w:hAnsi="仿宋" w:eastAsia="仿宋" w:cs="仿宋"/>
                <w:bCs/>
                <w:color w:val="auto"/>
                <w:sz w:val="28"/>
                <w:szCs w:val="28"/>
              </w:rPr>
              <w:t>人工智能赋能高等教育人才培养系列</w:t>
            </w:r>
          </w:p>
          <w:p w14:paraId="60CA5A83">
            <w:pPr>
              <w:keepNext w:val="0"/>
              <w:keepLines w:val="0"/>
              <w:pageBreakBefore w:val="0"/>
              <w:widowControl w:val="0"/>
              <w:tabs>
                <w:tab w:val="left" w:pos="160"/>
              </w:tabs>
              <w:kinsoku/>
              <w:wordWrap/>
              <w:overflowPunct/>
              <w:topLinePunct w:val="0"/>
              <w:autoSpaceDE/>
              <w:autoSpaceDN/>
              <w:bidi w:val="0"/>
              <w:adjustRightInd/>
              <w:snapToGrid/>
              <w:spacing w:line="360" w:lineRule="exact"/>
              <w:jc w:val="center"/>
              <w:textAlignment w:val="auto"/>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rPr>
              <w:t>师资培训</w:t>
            </w:r>
          </w:p>
        </w:tc>
        <w:tc>
          <w:tcPr>
            <w:tcW w:w="3660" w:type="dxa"/>
            <w:vAlign w:val="center"/>
          </w:tcPr>
          <w:p w14:paraId="71AFD688">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人事处</w:t>
            </w:r>
          </w:p>
        </w:tc>
      </w:tr>
      <w:tr w14:paraId="7BAD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69" w:type="dxa"/>
            <w:vMerge w:val="continue"/>
            <w:vAlign w:val="center"/>
          </w:tcPr>
          <w:p w14:paraId="0FE07763">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0EDB593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439661EA">
            <w:pPr>
              <w:keepNext w:val="0"/>
              <w:keepLines w:val="0"/>
              <w:pageBreakBefore w:val="0"/>
              <w:widowControl w:val="0"/>
              <w:tabs>
                <w:tab w:val="left" w:pos="160"/>
              </w:tabs>
              <w:kinsoku/>
              <w:wordWrap/>
              <w:overflowPunct/>
              <w:topLinePunct w:val="0"/>
              <w:autoSpaceDE/>
              <w:autoSpaceDN/>
              <w:bidi w:val="0"/>
              <w:adjustRightInd/>
              <w:snapToGrid/>
              <w:spacing w:line="32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第八届河南省本科高校教师课堂教学创新大赛参赛选手选拔与培训</w:t>
            </w:r>
          </w:p>
        </w:tc>
        <w:tc>
          <w:tcPr>
            <w:tcW w:w="3660" w:type="dxa"/>
            <w:vMerge w:val="restart"/>
            <w:vAlign w:val="center"/>
          </w:tcPr>
          <w:p w14:paraId="7482BC1D">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教师教学发展中心</w:t>
            </w:r>
          </w:p>
          <w:p w14:paraId="30E487DB">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5DCC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9" w:type="dxa"/>
            <w:vMerge w:val="continue"/>
            <w:vAlign w:val="center"/>
          </w:tcPr>
          <w:p w14:paraId="19FF725B">
            <w:pPr>
              <w:tabs>
                <w:tab w:val="left" w:pos="160"/>
              </w:tabs>
              <w:spacing w:line="420" w:lineRule="exact"/>
              <w:jc w:val="center"/>
              <w:rPr>
                <w:rFonts w:ascii="仿宋_GB2312" w:hAnsi="楷体" w:eastAsia="仿宋_GB2312" w:cs="楷体"/>
                <w:bCs/>
                <w:color w:val="auto"/>
                <w:sz w:val="28"/>
                <w:szCs w:val="28"/>
              </w:rPr>
            </w:pPr>
          </w:p>
        </w:tc>
        <w:tc>
          <w:tcPr>
            <w:tcW w:w="2430" w:type="dxa"/>
            <w:vMerge w:val="continue"/>
            <w:vAlign w:val="center"/>
          </w:tcPr>
          <w:p w14:paraId="760E555B">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c>
          <w:tcPr>
            <w:tcW w:w="6945" w:type="dxa"/>
            <w:vAlign w:val="center"/>
          </w:tcPr>
          <w:p w14:paraId="0DE86778">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校级教师发展师选聘及培训</w:t>
            </w:r>
          </w:p>
        </w:tc>
        <w:tc>
          <w:tcPr>
            <w:tcW w:w="3660" w:type="dxa"/>
            <w:vMerge w:val="continue"/>
            <w:vAlign w:val="center"/>
          </w:tcPr>
          <w:p w14:paraId="44974624">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rPr>
            </w:pPr>
          </w:p>
        </w:tc>
      </w:tr>
      <w:tr w14:paraId="3377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9" w:type="dxa"/>
            <w:vMerge w:val="continue"/>
            <w:shd w:val="clear" w:color="auto" w:fill="auto"/>
            <w:vAlign w:val="center"/>
          </w:tcPr>
          <w:p w14:paraId="76536573">
            <w:pPr>
              <w:tabs>
                <w:tab w:val="left" w:pos="160"/>
              </w:tabs>
              <w:spacing w:line="420" w:lineRule="exact"/>
              <w:jc w:val="center"/>
              <w:rPr>
                <w:rFonts w:hint="eastAsia" w:ascii="仿宋_GB2312" w:hAnsi="黑体" w:eastAsia="仿宋_GB2312" w:cs="楷体"/>
                <w:b/>
                <w:bCs/>
                <w:color w:val="auto"/>
                <w:sz w:val="28"/>
                <w:szCs w:val="28"/>
              </w:rPr>
            </w:pPr>
          </w:p>
        </w:tc>
        <w:tc>
          <w:tcPr>
            <w:tcW w:w="2430" w:type="dxa"/>
            <w:vMerge w:val="restart"/>
            <w:shd w:val="clear" w:color="auto" w:fill="auto"/>
            <w:vAlign w:val="center"/>
          </w:tcPr>
          <w:p w14:paraId="643EA79C">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sz w:val="28"/>
                <w:szCs w:val="28"/>
              </w:rPr>
              <w:t>AI赋能学生综合素养</w:t>
            </w:r>
            <w:r>
              <w:rPr>
                <w:rFonts w:hint="eastAsia" w:ascii="仿宋" w:hAnsi="仿宋" w:eastAsia="仿宋" w:cs="仿宋"/>
                <w:bCs/>
                <w:color w:val="auto"/>
                <w:sz w:val="28"/>
                <w:szCs w:val="28"/>
                <w:lang w:val="en-US" w:eastAsia="zh-CN"/>
              </w:rPr>
              <w:t>提升活动</w:t>
            </w:r>
          </w:p>
        </w:tc>
        <w:tc>
          <w:tcPr>
            <w:tcW w:w="6945" w:type="dxa"/>
            <w:tcBorders>
              <w:bottom w:val="single" w:color="auto" w:sz="4" w:space="0"/>
            </w:tcBorders>
            <w:shd w:val="clear" w:color="auto" w:fill="auto"/>
            <w:vAlign w:val="center"/>
          </w:tcPr>
          <w:p w14:paraId="1F50D5B3">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sz w:val="28"/>
                <w:szCs w:val="28"/>
                <w:lang w:val="en-US" w:eastAsia="zh-CN"/>
              </w:rPr>
              <w:t>信阳学院大学生</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rPr>
              <w:t>AI</w:t>
            </w:r>
            <w:r>
              <w:rPr>
                <w:rFonts w:hint="eastAsia" w:ascii="仿宋" w:hAnsi="仿宋" w:eastAsia="仿宋" w:cs="仿宋"/>
                <w:bCs/>
                <w:color w:val="auto"/>
                <w:sz w:val="28"/>
                <w:szCs w:val="28"/>
                <w:lang w:val="en-US" w:eastAsia="zh-CN"/>
              </w:rPr>
              <w:t>+</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创新应用大赛</w:t>
            </w:r>
          </w:p>
        </w:tc>
        <w:tc>
          <w:tcPr>
            <w:tcW w:w="3660" w:type="dxa"/>
            <w:tcBorders>
              <w:bottom w:val="single" w:color="auto" w:sz="4" w:space="0"/>
            </w:tcBorders>
            <w:shd w:val="clear" w:color="auto" w:fill="auto"/>
            <w:vAlign w:val="center"/>
          </w:tcPr>
          <w:p w14:paraId="1EF1EE75">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sz w:val="28"/>
                <w:szCs w:val="28"/>
                <w:lang w:val="en-US" w:eastAsia="zh-CN"/>
              </w:rPr>
              <w:t>计算机与人工智能学院</w:t>
            </w:r>
          </w:p>
        </w:tc>
      </w:tr>
      <w:tr w14:paraId="7F55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9" w:type="dxa"/>
            <w:vMerge w:val="continue"/>
            <w:shd w:val="clear" w:color="auto" w:fill="auto"/>
            <w:vAlign w:val="top"/>
          </w:tcPr>
          <w:p w14:paraId="6879EF5B">
            <w:pPr>
              <w:tabs>
                <w:tab w:val="left" w:pos="160"/>
              </w:tabs>
              <w:spacing w:line="420" w:lineRule="exact"/>
              <w:jc w:val="center"/>
              <w:rPr>
                <w:rFonts w:hint="eastAsia" w:ascii="仿宋_GB2312" w:hAnsi="黑体" w:eastAsia="仿宋_GB2312" w:cs="楷体"/>
                <w:b/>
                <w:bCs/>
                <w:color w:val="auto"/>
                <w:sz w:val="28"/>
                <w:szCs w:val="28"/>
              </w:rPr>
            </w:pPr>
          </w:p>
        </w:tc>
        <w:tc>
          <w:tcPr>
            <w:tcW w:w="2430" w:type="dxa"/>
            <w:vMerge w:val="continue"/>
            <w:shd w:val="clear" w:color="auto" w:fill="auto"/>
            <w:vAlign w:val="top"/>
          </w:tcPr>
          <w:p w14:paraId="0BC4551E">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_GB2312" w:hAnsi="黑体" w:eastAsia="仿宋_GB2312" w:cs="楷体"/>
                <w:b/>
                <w:bCs/>
                <w:color w:val="auto"/>
                <w:sz w:val="28"/>
                <w:szCs w:val="28"/>
              </w:rPr>
            </w:pPr>
          </w:p>
        </w:tc>
        <w:tc>
          <w:tcPr>
            <w:tcW w:w="6945" w:type="dxa"/>
            <w:tcBorders>
              <w:bottom w:val="single" w:color="auto" w:sz="4" w:space="0"/>
            </w:tcBorders>
            <w:shd w:val="clear" w:color="auto" w:fill="auto"/>
            <w:vAlign w:val="center"/>
          </w:tcPr>
          <w:p w14:paraId="0D90A9B9">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sz w:val="28"/>
                <w:szCs w:val="28"/>
                <w:lang w:val="en-US" w:eastAsia="zh-CN"/>
              </w:rPr>
              <w:t>信阳学院</w:t>
            </w:r>
            <w:r>
              <w:rPr>
                <w:rFonts w:hint="eastAsia" w:ascii="仿宋" w:hAnsi="仿宋" w:eastAsia="仿宋" w:cs="仿宋"/>
                <w:bCs/>
                <w:color w:val="auto"/>
                <w:sz w:val="28"/>
                <w:szCs w:val="28"/>
              </w:rPr>
              <w:t>AI</w:t>
            </w:r>
            <w:r>
              <w:rPr>
                <w:rFonts w:hint="eastAsia" w:ascii="仿宋" w:hAnsi="仿宋" w:eastAsia="仿宋" w:cs="仿宋"/>
                <w:bCs/>
                <w:color w:val="auto"/>
                <w:sz w:val="28"/>
                <w:szCs w:val="28"/>
                <w:lang w:val="en-US" w:eastAsia="zh-CN"/>
              </w:rPr>
              <w:t>绘新程短视频大赛</w:t>
            </w:r>
          </w:p>
        </w:tc>
        <w:tc>
          <w:tcPr>
            <w:tcW w:w="3660" w:type="dxa"/>
            <w:tcBorders>
              <w:bottom w:val="single" w:color="auto" w:sz="4" w:space="0"/>
            </w:tcBorders>
            <w:shd w:val="clear" w:color="auto" w:fill="auto"/>
            <w:vAlign w:val="center"/>
          </w:tcPr>
          <w:p w14:paraId="586E5ACD">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 w:hAnsi="仿宋" w:eastAsia="仿宋" w:cs="仿宋"/>
                <w:bCs/>
                <w:color w:val="auto"/>
                <w:kern w:val="2"/>
                <w:sz w:val="28"/>
                <w:szCs w:val="28"/>
                <w:lang w:val="en-US" w:eastAsia="zh-CN" w:bidi="ar-SA"/>
              </w:rPr>
            </w:pPr>
            <w:r>
              <w:rPr>
                <w:rFonts w:hint="eastAsia" w:ascii="仿宋" w:hAnsi="仿宋" w:eastAsia="仿宋" w:cs="仿宋"/>
                <w:bCs/>
                <w:color w:val="auto"/>
                <w:kern w:val="2"/>
                <w:sz w:val="28"/>
                <w:szCs w:val="28"/>
                <w:lang w:val="en-US" w:eastAsia="zh-CN" w:bidi="ar-SA"/>
              </w:rPr>
              <w:t>宣传部</w:t>
            </w:r>
          </w:p>
        </w:tc>
      </w:tr>
      <w:tr w14:paraId="6270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9" w:type="dxa"/>
            <w:vAlign w:val="center"/>
          </w:tcPr>
          <w:p w14:paraId="6F839775">
            <w:pPr>
              <w:tabs>
                <w:tab w:val="left" w:pos="160"/>
              </w:tabs>
              <w:spacing w:line="420" w:lineRule="exact"/>
              <w:jc w:val="center"/>
              <w:rPr>
                <w:rFonts w:hint="default" w:ascii="仿宋_GB2312" w:hAnsi="楷体" w:eastAsia="仿宋_GB2312" w:cs="楷体"/>
                <w:bCs/>
                <w:color w:val="auto"/>
                <w:sz w:val="28"/>
                <w:szCs w:val="28"/>
                <w:lang w:val="en-US" w:eastAsia="zh-CN"/>
              </w:rPr>
            </w:pPr>
            <w:r>
              <w:rPr>
                <w:rFonts w:hint="eastAsia" w:ascii="仿宋_GB2312" w:hAnsi="楷体" w:eastAsia="仿宋_GB2312" w:cs="楷体"/>
                <w:bCs/>
                <w:color w:val="auto"/>
                <w:sz w:val="28"/>
                <w:szCs w:val="28"/>
                <w:lang w:val="en-US" w:eastAsia="zh-CN"/>
              </w:rPr>
              <w:t>12月上旬</w:t>
            </w:r>
          </w:p>
        </w:tc>
        <w:tc>
          <w:tcPr>
            <w:tcW w:w="2430" w:type="dxa"/>
            <w:vAlign w:val="center"/>
          </w:tcPr>
          <w:p w14:paraId="1E5B77F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成果展示</w:t>
            </w:r>
          </w:p>
        </w:tc>
        <w:tc>
          <w:tcPr>
            <w:tcW w:w="6945" w:type="dxa"/>
            <w:vAlign w:val="center"/>
          </w:tcPr>
          <w:p w14:paraId="2ECDF2B2">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default"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信阳学院大学生</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rPr>
              <w:t>AI</w:t>
            </w:r>
            <w:r>
              <w:rPr>
                <w:rFonts w:hint="eastAsia" w:ascii="仿宋" w:hAnsi="仿宋" w:eastAsia="仿宋" w:cs="仿宋"/>
                <w:bCs/>
                <w:color w:val="auto"/>
                <w:sz w:val="28"/>
                <w:szCs w:val="28"/>
                <w:lang w:val="en-US" w:eastAsia="zh-CN"/>
              </w:rPr>
              <w:t>+</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创新应用大赛优秀作品展示</w:t>
            </w:r>
          </w:p>
        </w:tc>
        <w:tc>
          <w:tcPr>
            <w:tcW w:w="3660" w:type="dxa"/>
            <w:shd w:val="clear" w:color="auto" w:fill="auto"/>
            <w:vAlign w:val="center"/>
          </w:tcPr>
          <w:p w14:paraId="625487AA">
            <w:pPr>
              <w:keepNext w:val="0"/>
              <w:keepLines w:val="0"/>
              <w:pageBreakBefore w:val="0"/>
              <w:widowControl w:val="0"/>
              <w:tabs>
                <w:tab w:val="left" w:pos="16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sz w:val="28"/>
                <w:szCs w:val="28"/>
                <w:lang w:val="en-US" w:eastAsia="zh-CN"/>
              </w:rPr>
              <w:t>计算机与人工智能学院</w:t>
            </w:r>
          </w:p>
        </w:tc>
      </w:tr>
    </w:tbl>
    <w:p w14:paraId="0ACFDB31">
      <w:pPr>
        <w:jc w:val="left"/>
        <w:rPr>
          <w:rFonts w:hint="eastAsia" w:ascii="仿宋_GB2312" w:hAnsi="Verdana" w:eastAsia="仿宋_GB2312"/>
          <w:bCs/>
          <w:sz w:val="32"/>
          <w:szCs w:val="32"/>
        </w:rPr>
      </w:pPr>
    </w:p>
    <w:p w14:paraId="7D944EBA">
      <w:pPr>
        <w:jc w:val="left"/>
        <w:rPr>
          <w:rFonts w:hint="eastAsia" w:ascii="仿宋_GB2312" w:hAnsi="Verdana" w:eastAsia="仿宋_GB2312"/>
          <w:bCs/>
          <w:sz w:val="32"/>
          <w:szCs w:val="32"/>
        </w:rPr>
      </w:pPr>
    </w:p>
    <w:p w14:paraId="3C07F527">
      <w:pPr>
        <w:jc w:val="left"/>
        <w:rPr>
          <w:rFonts w:hint="eastAsia" w:ascii="仿宋_GB2312" w:hAnsi="Verdana" w:eastAsia="仿宋_GB2312"/>
          <w:bCs/>
          <w:sz w:val="32"/>
          <w:szCs w:val="32"/>
        </w:rPr>
      </w:pPr>
    </w:p>
    <w:p w14:paraId="0BE5515F">
      <w:pPr>
        <w:jc w:val="left"/>
        <w:rPr>
          <w:rFonts w:hint="eastAsia" w:ascii="仿宋_GB2312" w:hAnsi="Verdana" w:eastAsia="仿宋_GB2312"/>
          <w:bCs/>
          <w:sz w:val="32"/>
          <w:szCs w:val="32"/>
        </w:rPr>
      </w:pPr>
    </w:p>
    <w:p w14:paraId="31AE668E">
      <w:pPr>
        <w:jc w:val="left"/>
        <w:rPr>
          <w:rFonts w:hint="eastAsia" w:ascii="仿宋_GB2312" w:hAnsi="Verdana" w:eastAsia="仿宋_GB2312"/>
          <w:bCs/>
          <w:sz w:val="32"/>
          <w:szCs w:val="32"/>
        </w:rPr>
      </w:pPr>
    </w:p>
    <w:p w14:paraId="78868E69">
      <w:pPr>
        <w:jc w:val="left"/>
        <w:rPr>
          <w:rFonts w:hint="eastAsia" w:ascii="仿宋_GB2312" w:hAnsi="Verdana" w:eastAsia="仿宋_GB2312"/>
          <w:bCs/>
          <w:sz w:val="32"/>
          <w:szCs w:val="32"/>
        </w:rPr>
      </w:pPr>
    </w:p>
    <w:p w14:paraId="372BA998">
      <w:pPr>
        <w:jc w:val="left"/>
        <w:rPr>
          <w:rFonts w:hint="eastAsia" w:ascii="仿宋_GB2312" w:hAnsi="Verdana" w:eastAsia="仿宋_GB2312"/>
          <w:bCs/>
          <w:sz w:val="32"/>
          <w:szCs w:val="32"/>
          <w:lang w:val="en-US" w:eastAsia="zh-CN"/>
        </w:rPr>
        <w:sectPr>
          <w:footerReference r:id="rId3" w:type="default"/>
          <w:footerReference r:id="rId4" w:type="even"/>
          <w:pgSz w:w="16838" w:h="11906" w:orient="landscape"/>
          <w:pgMar w:top="1588" w:right="2098" w:bottom="1474" w:left="1928" w:header="851" w:footer="992" w:gutter="0"/>
          <w:cols w:space="425" w:num="1"/>
          <w:docGrid w:type="lines" w:linePitch="312" w:charSpace="0"/>
        </w:sectPr>
      </w:pPr>
      <w:bookmarkStart w:id="0" w:name="_GoBack"/>
      <w:bookmarkEnd w:id="0"/>
    </w:p>
    <w:p w14:paraId="7BABD872">
      <w:pPr>
        <w:tabs>
          <w:tab w:val="left" w:pos="765"/>
        </w:tabs>
        <w:spacing w:line="900" w:lineRule="exact"/>
        <w:rPr>
          <w:rFonts w:hint="eastAsia" w:ascii="仿宋" w:hAnsi="仿宋" w:eastAsia="仿宋" w:cs="Times New Roman"/>
          <w:sz w:val="28"/>
          <w:szCs w:val="28"/>
          <w:lang w:eastAsia="zh-CN"/>
        </w:rPr>
      </w:pPr>
    </w:p>
    <w:sectPr>
      <w:footerReference r:id="rId5" w:type="default"/>
      <w:type w:val="continuous"/>
      <w:pgSz w:w="16838" w:h="11906" w:orient="landscape"/>
      <w:pgMar w:top="1588" w:right="2098" w:bottom="1474" w:left="192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74B965-99F3-4324-A35A-A8E37A4F06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FCA7D8B8-69E2-4C74-B8AF-BFBD8A51D831}"/>
  </w:font>
  <w:font w:name="仿宋_GB2312">
    <w:panose1 w:val="02010609030101010101"/>
    <w:charset w:val="86"/>
    <w:family w:val="modern"/>
    <w:pitch w:val="default"/>
    <w:sig w:usb0="00000001" w:usb1="080E0000" w:usb2="00000000" w:usb3="00000000" w:csb0="00040000" w:csb1="00000000"/>
    <w:embedRegular r:id="rId3" w:fontKey="{CEA1F22B-4821-49E6-972F-6C559B0C3DE4}"/>
  </w:font>
  <w:font w:name="仿宋">
    <w:panose1 w:val="02010609060101010101"/>
    <w:charset w:val="86"/>
    <w:family w:val="modern"/>
    <w:pitch w:val="default"/>
    <w:sig w:usb0="800002BF" w:usb1="38CF7CFA" w:usb2="00000016" w:usb3="00000000" w:csb0="00040001" w:csb1="00000000"/>
    <w:embedRegular r:id="rId4" w:fontKey="{A52DCBB4-A410-43AC-B6AD-D2F413FB32C4}"/>
  </w:font>
  <w:font w:name="Verdana">
    <w:panose1 w:val="020B0604030504040204"/>
    <w:charset w:val="00"/>
    <w:family w:val="swiss"/>
    <w:pitch w:val="default"/>
    <w:sig w:usb0="A00006FF" w:usb1="4000205B" w:usb2="00000010" w:usb3="00000000" w:csb0="2000019F" w:csb1="00000000"/>
    <w:embedRegular r:id="rId5" w:fontKey="{A002CA79-D2BC-4822-8332-C06CD5CB8D12}"/>
  </w:font>
  <w:font w:name="楷体">
    <w:panose1 w:val="02010609060101010101"/>
    <w:charset w:val="86"/>
    <w:family w:val="modern"/>
    <w:pitch w:val="default"/>
    <w:sig w:usb0="800002BF" w:usb1="38CF7CFA" w:usb2="00000016" w:usb3="00000000" w:csb0="00040001" w:csb1="00000000"/>
    <w:embedRegular r:id="rId6" w:fontKey="{27CA9D9A-4BD5-416E-9C88-BA4113811E9E}"/>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6700"/>
      <w:docPartObj>
        <w:docPartGallery w:val="autotext"/>
      </w:docPartObj>
    </w:sdtPr>
    <w:sdtEndPr>
      <w:rPr>
        <w:rFonts w:asciiTheme="majorEastAsia" w:hAnsiTheme="majorEastAsia" w:eastAsiaTheme="majorEastAsia"/>
        <w:sz w:val="28"/>
        <w:szCs w:val="28"/>
      </w:rPr>
    </w:sdtEndPr>
    <w:sdtContent>
      <w:p w14:paraId="3967A5A6">
        <w:pPr>
          <w:pStyle w:val="3"/>
          <w:jc w:val="righ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t>—</w:t>
        </w:r>
        <w:r>
          <w:rPr>
            <w:rFonts w:hint="eastAsia" w:asciiTheme="majorEastAsia" w:hAnsiTheme="majorEastAsia" w:eastAsiaTheme="major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8874"/>
      <w:docPartObj>
        <w:docPartGallery w:val="autotext"/>
      </w:docPartObj>
    </w:sdtPr>
    <w:sdtEndPr>
      <w:rPr>
        <w:rFonts w:ascii="宋体" w:hAnsi="宋体" w:eastAsia="宋体"/>
        <w:sz w:val="28"/>
        <w:szCs w:val="28"/>
      </w:rPr>
    </w:sdtEndPr>
    <w:sdtContent>
      <w:p w14:paraId="27846900">
        <w:pPr>
          <w:pStyle w:val="3"/>
          <w:ind w:firstLine="180" w:firstLineChars="1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3431257"/>
      <w:docPartObj>
        <w:docPartGallery w:val="autotext"/>
      </w:docPartObj>
    </w:sdtPr>
    <w:sdtEndPr>
      <w:rPr>
        <w:rFonts w:asciiTheme="majorEastAsia" w:hAnsiTheme="majorEastAsia" w:eastAsiaTheme="majorEastAsia"/>
        <w:sz w:val="28"/>
        <w:szCs w:val="28"/>
      </w:rPr>
    </w:sdtEndPr>
    <w:sdtContent>
      <w:p w14:paraId="01970FF0">
        <w:pPr>
          <w:pStyle w:val="3"/>
          <w:jc w:val="righ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t>—</w:t>
        </w:r>
        <w:r>
          <w:rPr>
            <w:rFonts w:hint="eastAsia" w:asciiTheme="majorEastAsia" w:hAnsiTheme="majorEastAsia" w:eastAsiaTheme="majorEastAsia"/>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TQzZWQ0N2MwMTIxZjI2YTM0ZTBjYzFhNDg0Y2Y0NDEifQ=="/>
  </w:docVars>
  <w:rsids>
    <w:rsidRoot w:val="007C56A7"/>
    <w:rsid w:val="000103E4"/>
    <w:rsid w:val="00021A7E"/>
    <w:rsid w:val="000561A7"/>
    <w:rsid w:val="000A1E4D"/>
    <w:rsid w:val="000B7804"/>
    <w:rsid w:val="000C21DE"/>
    <w:rsid w:val="000E3E9F"/>
    <w:rsid w:val="00101126"/>
    <w:rsid w:val="00110B3A"/>
    <w:rsid w:val="00126FCE"/>
    <w:rsid w:val="00145CC6"/>
    <w:rsid w:val="00186097"/>
    <w:rsid w:val="001A70DE"/>
    <w:rsid w:val="003144D9"/>
    <w:rsid w:val="00352ACB"/>
    <w:rsid w:val="004B3501"/>
    <w:rsid w:val="005215CF"/>
    <w:rsid w:val="00522B27"/>
    <w:rsid w:val="005246F5"/>
    <w:rsid w:val="00582A8A"/>
    <w:rsid w:val="00646AD4"/>
    <w:rsid w:val="00651124"/>
    <w:rsid w:val="006675FC"/>
    <w:rsid w:val="006C355F"/>
    <w:rsid w:val="0070150A"/>
    <w:rsid w:val="0070482C"/>
    <w:rsid w:val="007074DF"/>
    <w:rsid w:val="00755DBB"/>
    <w:rsid w:val="00767FEF"/>
    <w:rsid w:val="007A06CB"/>
    <w:rsid w:val="007C56A7"/>
    <w:rsid w:val="007D1C1E"/>
    <w:rsid w:val="007D62BD"/>
    <w:rsid w:val="008350BC"/>
    <w:rsid w:val="00861A22"/>
    <w:rsid w:val="008C7371"/>
    <w:rsid w:val="008D1605"/>
    <w:rsid w:val="0095504E"/>
    <w:rsid w:val="00961F92"/>
    <w:rsid w:val="009729D5"/>
    <w:rsid w:val="00A4192A"/>
    <w:rsid w:val="00AE24B1"/>
    <w:rsid w:val="00B028B5"/>
    <w:rsid w:val="00B41A99"/>
    <w:rsid w:val="00B55576"/>
    <w:rsid w:val="00B90D0F"/>
    <w:rsid w:val="00C91879"/>
    <w:rsid w:val="00D75E56"/>
    <w:rsid w:val="00DC19FD"/>
    <w:rsid w:val="00DF2FC2"/>
    <w:rsid w:val="00E14B05"/>
    <w:rsid w:val="00E17DC4"/>
    <w:rsid w:val="00EB2C0F"/>
    <w:rsid w:val="00F05652"/>
    <w:rsid w:val="00F073A7"/>
    <w:rsid w:val="00F56C1A"/>
    <w:rsid w:val="00F97B70"/>
    <w:rsid w:val="00FA44A9"/>
    <w:rsid w:val="00FD17C2"/>
    <w:rsid w:val="022E0ACD"/>
    <w:rsid w:val="0B991F90"/>
    <w:rsid w:val="0CB74629"/>
    <w:rsid w:val="159A2FDB"/>
    <w:rsid w:val="176023EE"/>
    <w:rsid w:val="33CA7061"/>
    <w:rsid w:val="371A52B5"/>
    <w:rsid w:val="3AD94ECE"/>
    <w:rsid w:val="3D906442"/>
    <w:rsid w:val="40EB6953"/>
    <w:rsid w:val="41214BFD"/>
    <w:rsid w:val="46FA42E4"/>
    <w:rsid w:val="4BE75B86"/>
    <w:rsid w:val="64A13223"/>
    <w:rsid w:val="71B82D7B"/>
    <w:rsid w:val="72974236"/>
    <w:rsid w:val="735B2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styleId="10">
    <w:name w:val="Hyperlink"/>
    <w:basedOn w:val="8"/>
    <w:qFormat/>
    <w:uiPriority w:val="0"/>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 w:type="character" w:customStyle="1" w:styleId="13">
    <w:name w:val="批注框文本 Char"/>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419</Words>
  <Characters>421</Characters>
  <Lines>1</Lines>
  <Paragraphs>1</Paragraphs>
  <TotalTime>0</TotalTime>
  <ScaleCrop>false</ScaleCrop>
  <LinksUpToDate>false</LinksUpToDate>
  <CharactersWithSpaces>421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2009-01-01T07:01:00Z</dcterms:created>
  <dc:creator>谢语蔚</dc:creator>
  <cp:lastModifiedBy>白杨</cp:lastModifiedBy>
  <cp:lastPrinted>2026-11-03T03:50:00Z</cp:lastPrinted>
  <dcterms:modified xsi:type="dcterms:W3CDTF">2026-11-03T07:24:55Z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3565ACCEFDEB4F0E9996A651A7AB5E6D_12</vt:lpwstr>
  </property>
  <property fmtid="{D5CDD505-2E9C-101B-9397-08002B2CF9AE}" pid="4" name="KSOTemplateDocerSaveRecord">
    <vt:lpwstr>eyJoZGlkIjoiOTMyZWI0NDI5ZTdkMjc4YjA2NWM4ODYyNWNjZTE3MDAiLCJ1c2VySWQiOiI0MjIzNzcyNjEifQ==</vt:lpwstr>
  </property>
</Properties>
</file>